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79F7" w:rsidRPr="00FF2AC4" w:rsidRDefault="00DC45E6" w:rsidP="00FF2AC4">
      <w:pPr>
        <w:spacing w:before="200" w:after="280"/>
        <w:ind w:left="936" w:right="936"/>
        <w:rPr>
          <w:sz w:val="24"/>
        </w:rPr>
      </w:pPr>
      <w:r w:rsidRPr="00FF2AC4">
        <w:rPr>
          <w:b/>
          <w:i/>
          <w:color w:val="4F81BD"/>
          <w:sz w:val="24"/>
        </w:rPr>
        <w:t>Памятка для предпринимателей по программе «Развитие лизинга оборудования: субсидирование затрат субъектов предпринимательства на уплату первого взноса (аванса) по договору лизинга оборудования (ЛИЗИНГ-ГРАНТ</w:t>
      </w:r>
      <w:r w:rsidRPr="00FF2AC4">
        <w:rPr>
          <w:rFonts w:ascii="Times New Roman" w:eastAsia="Times New Roman" w:hAnsi="Times New Roman" w:cs="Times New Roman"/>
          <w:b/>
          <w:i/>
          <w:color w:val="4F81BD"/>
          <w:sz w:val="28"/>
          <w:vertAlign w:val="superscript"/>
        </w:rPr>
        <w:footnoteReference w:id="2"/>
      </w:r>
      <w:r w:rsidRPr="00FF2AC4">
        <w:rPr>
          <w:b/>
          <w:i/>
          <w:color w:val="4F81BD"/>
          <w:sz w:val="24"/>
        </w:rPr>
        <w:t>)».</w:t>
      </w:r>
    </w:p>
    <w:p w:rsidR="002B79F7" w:rsidRDefault="002B79F7">
      <w:pPr>
        <w:pBdr>
          <w:top w:val="single" w:sz="4" w:space="1" w:color="auto"/>
        </w:pBdr>
      </w:pPr>
    </w:p>
    <w:p w:rsidR="002B79F7" w:rsidRDefault="00DC45E6">
      <w:pPr>
        <w:spacing w:before="100" w:after="100"/>
      </w:pPr>
      <w:r>
        <w:rPr>
          <w:b/>
          <w:smallCaps/>
        </w:rPr>
        <w:t xml:space="preserve">Для заявителей, действующих </w:t>
      </w:r>
      <w:r w:rsidR="00FF2AC4">
        <w:rPr>
          <w:b/>
          <w:smallCaps/>
        </w:rPr>
        <w:t>более</w:t>
      </w:r>
      <w:r>
        <w:rPr>
          <w:b/>
          <w:smallCaps/>
        </w:rPr>
        <w:t xml:space="preserve"> 1 года на момент подачи заявления и претендующих на сумму до </w:t>
      </w:r>
      <w:r w:rsidR="00FF2AC4">
        <w:rPr>
          <w:b/>
          <w:smallCaps/>
        </w:rPr>
        <w:t xml:space="preserve">3 </w:t>
      </w:r>
      <w:r>
        <w:rPr>
          <w:b/>
          <w:smallCaps/>
        </w:rPr>
        <w:t>млн. руб.</w:t>
      </w:r>
    </w:p>
    <w:p w:rsidR="002B79F7" w:rsidRPr="00D37269" w:rsidRDefault="00D37269">
      <w:pPr>
        <w:spacing w:before="100" w:after="100" w:line="240" w:lineRule="auto"/>
        <w:ind w:left="20" w:right="20" w:firstLine="700"/>
        <w:jc w:val="both"/>
        <w:rPr>
          <w:b/>
        </w:rPr>
      </w:pPr>
      <w:r w:rsidRPr="00D37269">
        <w:rPr>
          <w:b/>
        </w:rPr>
        <w:t>Субсидии предоставляются субъектам предпринимательства, осущест</w:t>
      </w:r>
      <w:r w:rsidRPr="00D37269">
        <w:rPr>
          <w:b/>
        </w:rPr>
        <w:softHyphen/>
        <w:t xml:space="preserve">вляющим </w:t>
      </w:r>
      <w:r w:rsidRPr="00D37269">
        <w:rPr>
          <w:b/>
          <w:color w:val="FF0000"/>
        </w:rPr>
        <w:t>основную</w:t>
      </w:r>
      <w:r w:rsidRPr="00D37269">
        <w:rPr>
          <w:b/>
        </w:rPr>
        <w:t xml:space="preserve"> деятельность по следующим группам и подгруппам видов эко</w:t>
      </w:r>
      <w:r w:rsidRPr="00D37269">
        <w:rPr>
          <w:b/>
        </w:rPr>
        <w:softHyphen/>
        <w:t>номической деятельности (в соответствии с Общероссийским классификатором ви</w:t>
      </w:r>
      <w:r w:rsidRPr="00D37269">
        <w:rPr>
          <w:b/>
        </w:rPr>
        <w:softHyphen/>
        <w:t>дов экономической деятельности (ОКВЭД 2) ОК 029-2014 (КДЕС Ред. 2), принятым приказом Федерального агентства по техническому регулированию и метрологии от 31 января 2014 г. № 14-ст):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144"/>
        <w:gridCol w:w="8222"/>
      </w:tblGrid>
      <w:tr w:rsidR="00520693" w:rsidRPr="00520693" w:rsidTr="00520693">
        <w:trPr>
          <w:trHeight w:hRule="exact" w:val="331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Выращивание однолетних культур</w:t>
            </w:r>
          </w:p>
        </w:tc>
      </w:tr>
      <w:tr w:rsidR="00520693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01.2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Выращивание многолетних культур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01.3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Выращивание рассады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01.4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Животноводство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01.5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Смешанное сельское хозяйство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02.1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Лесоводство и прочая лесохозяйственная деятельность</w:t>
            </w:r>
          </w:p>
        </w:tc>
      </w:tr>
      <w:tr w:rsidR="00520693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02.2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Лесозаготовки</w:t>
            </w:r>
          </w:p>
        </w:tc>
      </w:tr>
      <w:tr w:rsidR="00520693" w:rsidRPr="00520693" w:rsidTr="008B1181">
        <w:trPr>
          <w:trHeight w:hRule="exact" w:val="619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02.3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B1181">
            <w:pPr>
              <w:pStyle w:val="40"/>
              <w:shd w:val="clear" w:color="auto" w:fill="auto"/>
              <w:spacing w:before="0" w:after="0" w:line="317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Сбор и заготовка пищевых лесных ресурсов, недревесных лесных ре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сурсов и лекарственных растений</w:t>
            </w:r>
          </w:p>
        </w:tc>
      </w:tr>
      <w:tr w:rsidR="00520693" w:rsidRPr="00520693" w:rsidTr="00520693">
        <w:trPr>
          <w:trHeight w:hRule="exact" w:val="326"/>
        </w:trPr>
        <w:tc>
          <w:tcPr>
            <w:tcW w:w="1144" w:type="dxa"/>
            <w:shd w:val="clear" w:color="auto" w:fill="FFFFFF"/>
            <w:vAlign w:val="center"/>
          </w:tcPr>
          <w:p w:rsidR="00886BF3" w:rsidRPr="00520693" w:rsidRDefault="00886BF3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02.4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886BF3" w:rsidRPr="00520693" w:rsidRDefault="00886BF3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Предоставление услуг в области лесоводства и лесозаготовок</w:t>
            </w:r>
          </w:p>
        </w:tc>
      </w:tr>
      <w:tr w:rsidR="00DF542C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03.2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Рыбоводство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пищевых продуктов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напитков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F51EB7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>
              <w:rPr>
                <w:rStyle w:val="30"/>
                <w:rFonts w:asciiTheme="minorHAnsi" w:hAnsiTheme="minorHAnsi"/>
                <w:sz w:val="22"/>
                <w:szCs w:val="22"/>
              </w:rPr>
              <w:t xml:space="preserve">                                                б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текстильных изделий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одежды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кожи и изделий из кожи</w:t>
            </w:r>
          </w:p>
        </w:tc>
      </w:tr>
      <w:tr w:rsidR="00DF542C" w:rsidRPr="00520693" w:rsidTr="00DF542C">
        <w:trPr>
          <w:trHeight w:hRule="exact" w:val="485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8222" w:type="dxa"/>
            <w:shd w:val="clear" w:color="auto" w:fill="FFFFFF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Обработка древесины и производство изделий из дерева и пробки, кро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ме мебели, производство изделий из соломки и материалов для плете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ния</w:t>
            </w:r>
          </w:p>
        </w:tc>
      </w:tr>
      <w:tr w:rsidR="00DF542C" w:rsidRPr="00520693" w:rsidTr="00DF542C">
        <w:trPr>
          <w:trHeight w:hRule="exact" w:val="293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бумаги и бумажных изделий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</w:tr>
      <w:tr w:rsidR="00DF542C" w:rsidRPr="00520693" w:rsidTr="00520693">
        <w:trPr>
          <w:trHeight w:hRule="exact" w:val="31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</w:tr>
      <w:tr w:rsidR="00DF542C" w:rsidRPr="00520693" w:rsidTr="00DF542C">
        <w:trPr>
          <w:trHeight w:hRule="exact" w:val="491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B1181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лекарственных средств и материалов, применяемых в ме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дицинских целях</w:t>
            </w:r>
          </w:p>
        </w:tc>
      </w:tr>
      <w:tr w:rsidR="00DF542C" w:rsidRPr="00520693" w:rsidTr="00DF542C">
        <w:trPr>
          <w:trHeight w:hRule="exact" w:val="356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8222" w:type="dxa"/>
            <w:shd w:val="clear" w:color="auto" w:fill="FFFFFF"/>
            <w:vAlign w:val="center"/>
          </w:tcPr>
          <w:p w:rsidR="00DF542C" w:rsidRPr="00520693" w:rsidRDefault="00DF542C" w:rsidP="00DF542C">
            <w:pPr>
              <w:pStyle w:val="40"/>
              <w:shd w:val="clear" w:color="auto" w:fill="auto"/>
              <w:spacing w:before="0" w:after="0" w:line="317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резиновых и пластмассовых изделий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lastRenderedPageBreak/>
              <w:t>23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металлургическое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готовых металлических изделий, кроме машин и обору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дования</w:t>
            </w:r>
          </w:p>
        </w:tc>
      </w:tr>
      <w:tr w:rsidR="00DF542C" w:rsidRPr="00520693" w:rsidTr="00520693">
        <w:trPr>
          <w:trHeight w:hRule="exact" w:val="288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</w:tr>
      <w:tr w:rsidR="00DF542C" w:rsidRPr="00520693" w:rsidTr="00520693">
        <w:trPr>
          <w:trHeight w:hRule="exact" w:val="32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электрического оборудования</w:t>
            </w:r>
          </w:p>
        </w:tc>
      </w:tr>
      <w:tr w:rsidR="00DF542C" w:rsidRPr="00520693" w:rsidTr="00520693">
        <w:trPr>
          <w:trHeight w:hRule="exact" w:val="31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машин и оборудования, не включенных в другие группи</w:t>
            </w: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softHyphen/>
              <w:t>ровки</w:t>
            </w:r>
          </w:p>
        </w:tc>
      </w:tr>
      <w:tr w:rsidR="00DF542C" w:rsidRPr="00520693" w:rsidTr="00520693">
        <w:trPr>
          <w:trHeight w:hRule="exact" w:val="29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</w:tr>
      <w:tr w:rsidR="00DF542C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</w:tr>
      <w:tr w:rsidR="00DF542C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мебели</w:t>
            </w:r>
          </w:p>
        </w:tc>
      </w:tr>
      <w:tr w:rsidR="00DF542C" w:rsidRPr="00520693" w:rsidTr="00520693">
        <w:trPr>
          <w:trHeight w:hRule="exact" w:val="317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Производство прочих готовых изделий</w:t>
            </w:r>
          </w:p>
        </w:tc>
      </w:tr>
      <w:tr w:rsidR="00DF542C" w:rsidRPr="00520693" w:rsidTr="00520693">
        <w:trPr>
          <w:trHeight w:hRule="exact" w:val="341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86BF3">
            <w:pPr>
              <w:pStyle w:val="40"/>
              <w:shd w:val="clear" w:color="auto" w:fill="auto"/>
              <w:spacing w:before="0" w:after="0" w:line="240" w:lineRule="exac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Сбор, обработка и утилизация отходов: обработка вторичного сырья</w:t>
            </w:r>
          </w:p>
        </w:tc>
      </w:tr>
      <w:tr w:rsidR="00DF542C" w:rsidRPr="00520693" w:rsidTr="00DF542C">
        <w:trPr>
          <w:trHeight w:hRule="exact" w:val="539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B1181">
            <w:pPr>
              <w:pStyle w:val="40"/>
              <w:shd w:val="clear" w:color="auto" w:fill="auto"/>
              <w:spacing w:before="0" w:after="0" w:line="240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DF542C" w:rsidRPr="00520693" w:rsidTr="008B1181">
        <w:trPr>
          <w:trHeight w:hRule="exact" w:val="942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49.31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B1181">
            <w:pPr>
              <w:pStyle w:val="40"/>
              <w:shd w:val="clear" w:color="auto" w:fill="auto"/>
              <w:spacing w:before="0" w:after="0" w:line="307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Деятельность сухопутного пассажирского транспорта: внутригородские и пригородные перевозки пассажиров (в случае, если приобретаются автотранспортные средства, работающие на природном газе (метане)</w:t>
            </w:r>
          </w:p>
        </w:tc>
      </w:tr>
      <w:tr w:rsidR="00DF542C" w:rsidRPr="00520693" w:rsidTr="00DF542C">
        <w:trPr>
          <w:trHeight w:hRule="exact" w:val="653"/>
        </w:trPr>
        <w:tc>
          <w:tcPr>
            <w:tcW w:w="1144" w:type="dxa"/>
            <w:shd w:val="clear" w:color="auto" w:fill="FFFFFF"/>
            <w:vAlign w:val="center"/>
          </w:tcPr>
          <w:p w:rsidR="00DF542C" w:rsidRPr="00520693" w:rsidRDefault="00DF542C" w:rsidP="00520693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49.41</w:t>
            </w:r>
          </w:p>
        </w:tc>
        <w:tc>
          <w:tcPr>
            <w:tcW w:w="8222" w:type="dxa"/>
            <w:shd w:val="clear" w:color="auto" w:fill="FFFFFF"/>
            <w:vAlign w:val="bottom"/>
          </w:tcPr>
          <w:p w:rsidR="00DF542C" w:rsidRPr="00520693" w:rsidRDefault="00DF542C" w:rsidP="008B1181">
            <w:pPr>
              <w:pStyle w:val="40"/>
              <w:shd w:val="clear" w:color="auto" w:fill="auto"/>
              <w:spacing w:before="0" w:after="0" w:line="307" w:lineRule="exact"/>
              <w:jc w:val="left"/>
              <w:rPr>
                <w:rFonts w:asciiTheme="minorHAnsi" w:hAnsiTheme="minorHAnsi"/>
              </w:rPr>
            </w:pPr>
            <w:r w:rsidRPr="00520693">
              <w:rPr>
                <w:rStyle w:val="30"/>
                <w:rFonts w:asciiTheme="minorHAnsi" w:hAnsiTheme="minorHAnsi"/>
                <w:sz w:val="22"/>
                <w:szCs w:val="22"/>
              </w:rPr>
              <w:t>Деятельность автомобильного грузового транспорта (в случае, если приобретаются автотранспортные средства, работающие на природном газе (метане)</w:t>
            </w:r>
          </w:p>
        </w:tc>
      </w:tr>
    </w:tbl>
    <w:p w:rsidR="002B79F7" w:rsidRDefault="00DC45E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</w:p>
    <w:p w:rsidR="00DE6A1B" w:rsidRPr="00994AB9" w:rsidRDefault="00DE6A1B" w:rsidP="00DE6A1B">
      <w:pPr>
        <w:spacing w:before="100" w:after="100" w:line="240" w:lineRule="auto"/>
        <w:ind w:left="20" w:right="20" w:firstLine="700"/>
        <w:jc w:val="both"/>
        <w:rPr>
          <w:b/>
          <w:color w:val="FF0000"/>
        </w:rPr>
      </w:pPr>
      <w:r w:rsidRPr="00994AB9">
        <w:rPr>
          <w:b/>
          <w:color w:val="FF0000"/>
        </w:rPr>
        <w:t>Возможны несоответствия по разделам видов деятельности, в связи с различием редакций Общероссийского классификатора видов экономической деятельности.</w:t>
      </w:r>
    </w:p>
    <w:p w:rsidR="00DE6A1B" w:rsidRDefault="00DE6A1B">
      <w:pPr>
        <w:spacing w:before="100" w:after="100" w:line="240" w:lineRule="auto"/>
        <w:ind w:left="20" w:right="20" w:firstLine="700"/>
        <w:jc w:val="both"/>
        <w:rPr>
          <w:b/>
        </w:rPr>
      </w:pPr>
    </w:p>
    <w:p w:rsidR="00FF2AC4" w:rsidRPr="00FF2AC4" w:rsidRDefault="00FF2AC4" w:rsidP="00FF2AC4">
      <w:pPr>
        <w:spacing w:before="100" w:after="100" w:line="240" w:lineRule="auto"/>
        <w:ind w:left="20" w:right="20" w:firstLine="700"/>
        <w:jc w:val="both"/>
        <w:rPr>
          <w:b/>
          <w:sz w:val="24"/>
        </w:rPr>
      </w:pPr>
      <w:r w:rsidRPr="00FF2AC4">
        <w:rPr>
          <w:b/>
          <w:sz w:val="24"/>
        </w:rPr>
        <w:t>Субсидии предоставляются на возмещение фактически понесенных затрат по уплате авансового платежа по договору лизинга в размере 30 процентов от суммы договора лизин</w:t>
      </w:r>
      <w:bookmarkStart w:id="0" w:name="_GoBack"/>
      <w:bookmarkEnd w:id="0"/>
      <w:r w:rsidRPr="00FF2AC4">
        <w:rPr>
          <w:b/>
          <w:sz w:val="24"/>
        </w:rPr>
        <w:t>га, но не более 3 000 000 (три миллиона) рублей.</w:t>
      </w:r>
    </w:p>
    <w:p w:rsidR="002B79F7" w:rsidRPr="00FF2AC4" w:rsidRDefault="00FF2AC4" w:rsidP="00FF2AC4">
      <w:pPr>
        <w:spacing w:before="100" w:after="100" w:line="240" w:lineRule="auto"/>
        <w:ind w:left="20" w:right="20" w:firstLine="700"/>
        <w:jc w:val="both"/>
        <w:rPr>
          <w:b/>
          <w:sz w:val="24"/>
        </w:rPr>
      </w:pPr>
      <w:r w:rsidRPr="00FF2AC4">
        <w:rPr>
          <w:b/>
          <w:sz w:val="24"/>
        </w:rPr>
        <w:t>Договоры лизинга с лизингодателем должны быть действующими на момент подачи конкурсной заявки.</w:t>
      </w:r>
      <w:r w:rsidR="008B1181" w:rsidRPr="00FF2AC4">
        <w:rPr>
          <w:rStyle w:val="a9"/>
          <w:b/>
          <w:sz w:val="24"/>
        </w:rPr>
        <w:footnoteReference w:id="3"/>
      </w:r>
    </w:p>
    <w:p w:rsidR="00DF542C" w:rsidRPr="00711EEA" w:rsidRDefault="00DF542C">
      <w:pPr>
        <w:spacing w:before="100" w:after="100" w:line="240" w:lineRule="auto"/>
        <w:ind w:left="20" w:right="20" w:firstLine="700"/>
        <w:jc w:val="both"/>
      </w:pPr>
    </w:p>
    <w:p w:rsidR="00FF2AC4" w:rsidRPr="00FF2AC4" w:rsidRDefault="00DC45E6">
      <w:pPr>
        <w:spacing w:before="100" w:after="10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711EEA">
        <w:rPr>
          <w:rFonts w:ascii="Times New Roman" w:eastAsia="Times New Roman" w:hAnsi="Times New Roman" w:cs="Times New Roman"/>
          <w:color w:val="auto"/>
          <w:sz w:val="24"/>
        </w:rPr>
        <w:t>Предметом договора лизинга могут бытьустройства, механизмы, транспортные средства (за исключением легковых автомобилей), станки, приборы, аппараты, агрегаты, установки, машины, средства и технологии (далее - оборудование), относящиеся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 1 «О классификации основных средств, включаемых в амортизационные группы».</w:t>
      </w:r>
    </w:p>
    <w:p w:rsidR="002B79F7" w:rsidRPr="00711EEA" w:rsidRDefault="00DC45E6">
      <w:pPr>
        <w:spacing w:before="100" w:after="100" w:line="240" w:lineRule="auto"/>
        <w:jc w:val="right"/>
        <w:rPr>
          <w:sz w:val="20"/>
        </w:rPr>
      </w:pPr>
      <w:r w:rsidRPr="00711EEA">
        <w:rPr>
          <w:smallCaps/>
          <w:color w:val="C0504D"/>
          <w:sz w:val="28"/>
          <w:u w:val="single"/>
        </w:rPr>
        <w:t>Предметом договора лизинга не может быть:</w:t>
      </w:r>
    </w:p>
    <w:p w:rsidR="002B79F7" w:rsidRPr="00711EEA" w:rsidRDefault="00DC45E6">
      <w:pPr>
        <w:numPr>
          <w:ilvl w:val="0"/>
          <w:numId w:val="2"/>
        </w:numPr>
        <w:spacing w:before="100" w:after="100" w:line="240" w:lineRule="auto"/>
        <w:ind w:right="20" w:hanging="359"/>
        <w:jc w:val="both"/>
      </w:pPr>
      <w:r w:rsidRPr="00711EEA">
        <w:rPr>
          <w:rFonts w:ascii="Times New Roman" w:eastAsia="Times New Roman" w:hAnsi="Times New Roman" w:cs="Times New Roman"/>
          <w:color w:val="0070C0"/>
          <w:sz w:val="24"/>
        </w:rPr>
        <w:t>оборудование, предназначенное для осуществления оптовой и розничной торговой деятельности;</w:t>
      </w:r>
    </w:p>
    <w:p w:rsidR="00DF542C" w:rsidRDefault="00DC45E6" w:rsidP="008B1181">
      <w:pPr>
        <w:numPr>
          <w:ilvl w:val="0"/>
          <w:numId w:val="2"/>
        </w:numPr>
        <w:spacing w:before="100" w:after="100" w:line="240" w:lineRule="auto"/>
        <w:ind w:right="20" w:hanging="359"/>
        <w:jc w:val="both"/>
      </w:pPr>
      <w:r w:rsidRPr="00711EEA">
        <w:rPr>
          <w:rFonts w:ascii="Times New Roman" w:eastAsia="Times New Roman" w:hAnsi="Times New Roman" w:cs="Times New Roman"/>
          <w:color w:val="0070C0"/>
          <w:sz w:val="24"/>
        </w:rPr>
        <w:t>ран</w:t>
      </w:r>
      <w:r w:rsidR="008B1181">
        <w:rPr>
          <w:rFonts w:ascii="Times New Roman" w:eastAsia="Times New Roman" w:hAnsi="Times New Roman" w:cs="Times New Roman"/>
          <w:color w:val="0070C0"/>
          <w:sz w:val="24"/>
        </w:rPr>
        <w:t>ее эксплуатируемое оборудование.</w:t>
      </w:r>
    </w:p>
    <w:p w:rsidR="002B79F7" w:rsidRPr="00711EEA" w:rsidRDefault="00DC45E6">
      <w:pPr>
        <w:spacing w:before="100" w:after="100" w:line="240" w:lineRule="auto"/>
        <w:ind w:right="20"/>
        <w:jc w:val="right"/>
        <w:rPr>
          <w:sz w:val="28"/>
        </w:rPr>
      </w:pPr>
      <w:r w:rsidRPr="00711EEA">
        <w:rPr>
          <w:smallCaps/>
          <w:color w:val="C0504D"/>
          <w:sz w:val="28"/>
          <w:u w:val="single"/>
        </w:rPr>
        <w:lastRenderedPageBreak/>
        <w:t>Субъект предпринимательства вправе претендовать на получение субсидии при одновременном выполнении следующих условий:</w:t>
      </w:r>
    </w:p>
    <w:p w:rsidR="002B79F7" w:rsidRPr="006A6845" w:rsidRDefault="00DC45E6">
      <w:pPr>
        <w:numPr>
          <w:ilvl w:val="0"/>
          <w:numId w:val="1"/>
        </w:numPr>
        <w:spacing w:before="100" w:after="100" w:line="240" w:lineRule="auto"/>
        <w:ind w:hanging="359"/>
        <w:jc w:val="both"/>
        <w:rPr>
          <w:color w:val="auto"/>
        </w:rPr>
      </w:pPr>
      <w:r w:rsidRPr="006A6845">
        <w:rPr>
          <w:rFonts w:ascii="Times New Roman" w:eastAsia="Times New Roman" w:hAnsi="Times New Roman" w:cs="Times New Roman"/>
          <w:color w:val="auto"/>
          <w:sz w:val="24"/>
        </w:rPr>
        <w:t>Соответствие требованиям, установленным:</w:t>
      </w:r>
    </w:p>
    <w:p w:rsidR="002B79F7" w:rsidRPr="006A6845" w:rsidRDefault="00DF542C">
      <w:pPr>
        <w:spacing w:before="100" w:after="100" w:line="240" w:lineRule="auto"/>
        <w:ind w:left="20" w:right="20" w:firstLine="70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="00DC45E6" w:rsidRPr="006A6845">
        <w:rPr>
          <w:rFonts w:ascii="Times New Roman" w:eastAsia="Times New Roman" w:hAnsi="Times New Roman" w:cs="Times New Roman"/>
          <w:color w:val="auto"/>
          <w:sz w:val="24"/>
        </w:rPr>
        <w:t>Федеральным законом от 24 июля 2007 года № 209-ФЗ «О развитии малого и среднего предпринимательства в Российской Федерации»;</w:t>
      </w:r>
    </w:p>
    <w:p w:rsidR="002B79F7" w:rsidRDefault="00DF542C">
      <w:pPr>
        <w:spacing w:before="100" w:after="10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="00DC45E6" w:rsidRPr="006A6845">
        <w:rPr>
          <w:rFonts w:ascii="Times New Roman" w:eastAsia="Times New Roman" w:hAnsi="Times New Roman" w:cs="Times New Roman"/>
          <w:color w:val="auto"/>
          <w:sz w:val="24"/>
        </w:rPr>
        <w:t xml:space="preserve">постановлением Правительства Российской Федерации от </w:t>
      </w:r>
      <w:r w:rsidR="00711EEA">
        <w:rPr>
          <w:rFonts w:ascii="Times New Roman" w:eastAsia="Times New Roman" w:hAnsi="Times New Roman" w:cs="Times New Roman"/>
          <w:color w:val="auto"/>
          <w:sz w:val="24"/>
        </w:rPr>
        <w:t>13 июля 2015</w:t>
      </w:r>
      <w:r w:rsidR="00DC45E6" w:rsidRPr="006A6845">
        <w:rPr>
          <w:rFonts w:ascii="Times New Roman" w:eastAsia="Times New Roman" w:hAnsi="Times New Roman" w:cs="Times New Roman"/>
          <w:color w:val="auto"/>
          <w:sz w:val="24"/>
        </w:rPr>
        <w:t xml:space="preserve"> г. №</w:t>
      </w:r>
      <w:r w:rsidR="00711EEA">
        <w:rPr>
          <w:rFonts w:ascii="Times New Roman" w:eastAsia="Times New Roman" w:hAnsi="Times New Roman" w:cs="Times New Roman"/>
          <w:color w:val="auto"/>
          <w:sz w:val="24"/>
        </w:rPr>
        <w:t>702</w:t>
      </w:r>
      <w:r w:rsidR="00DC45E6" w:rsidRPr="006A6845">
        <w:rPr>
          <w:rFonts w:ascii="Times New Roman" w:eastAsia="Times New Roman" w:hAnsi="Times New Roman" w:cs="Times New Roman"/>
          <w:color w:val="auto"/>
          <w:sz w:val="24"/>
        </w:rPr>
        <w:t xml:space="preserve"> «О предельных значениях выручки от реализации товаров (работ, услуг) для каждой категории субъектов малого </w:t>
      </w:r>
      <w:r w:rsidR="00711EEA">
        <w:rPr>
          <w:rFonts w:ascii="Times New Roman" w:eastAsia="Times New Roman" w:hAnsi="Times New Roman" w:cs="Times New Roman"/>
          <w:color w:val="auto"/>
          <w:sz w:val="24"/>
        </w:rPr>
        <w:t>и среднего предпринимательства»;</w:t>
      </w:r>
    </w:p>
    <w:p w:rsidR="00711EEA" w:rsidRPr="006A6845" w:rsidRDefault="00711EEA">
      <w:pPr>
        <w:spacing w:before="100" w:after="100" w:line="240" w:lineRule="auto"/>
        <w:ind w:left="20" w:right="20" w:firstLine="70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- </w:t>
      </w:r>
      <w:r w:rsidRPr="006A6845">
        <w:rPr>
          <w:rFonts w:ascii="Times New Roman" w:eastAsia="Times New Roman" w:hAnsi="Times New Roman" w:cs="Times New Roman"/>
          <w:color w:val="auto"/>
          <w:sz w:val="24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auto"/>
          <w:sz w:val="24"/>
        </w:rPr>
        <w:t>4 апреля 2016 года</w:t>
      </w:r>
      <w:r w:rsidRPr="006A6845">
        <w:rPr>
          <w:rFonts w:ascii="Times New Roman" w:eastAsia="Times New Roman" w:hAnsi="Times New Roman" w:cs="Times New Roman"/>
          <w:color w:val="auto"/>
          <w:sz w:val="24"/>
        </w:rPr>
        <w:t xml:space="preserve"> г. №</w:t>
      </w:r>
      <w:r>
        <w:rPr>
          <w:rFonts w:ascii="Times New Roman" w:eastAsia="Times New Roman" w:hAnsi="Times New Roman" w:cs="Times New Roman"/>
          <w:color w:val="auto"/>
          <w:sz w:val="24"/>
        </w:rPr>
        <w:t>265</w:t>
      </w:r>
      <w:r w:rsidRPr="006A6845">
        <w:rPr>
          <w:rFonts w:ascii="Times New Roman" w:eastAsia="Times New Roman" w:hAnsi="Times New Roman" w:cs="Times New Roman"/>
          <w:color w:val="auto"/>
          <w:sz w:val="24"/>
        </w:rPr>
        <w:t xml:space="preserve"> «О предельных значениях выручки от реализации товаров (работ, услуг) для каждой категории субъектов малого и среднего предпринимательства».</w:t>
      </w:r>
    </w:p>
    <w:p w:rsidR="002B79F7" w:rsidRPr="006A6845" w:rsidRDefault="00DC45E6">
      <w:pPr>
        <w:numPr>
          <w:ilvl w:val="0"/>
          <w:numId w:val="1"/>
        </w:numPr>
        <w:spacing w:before="100" w:after="100" w:line="240" w:lineRule="auto"/>
        <w:ind w:right="20" w:hanging="359"/>
        <w:jc w:val="both"/>
        <w:rPr>
          <w:color w:val="auto"/>
        </w:rPr>
      </w:pPr>
      <w:r w:rsidRPr="006A6845">
        <w:rPr>
          <w:rFonts w:ascii="Times New Roman" w:eastAsia="Times New Roman" w:hAnsi="Times New Roman" w:cs="Times New Roman"/>
          <w:color w:val="auto"/>
          <w:sz w:val="24"/>
        </w:rPr>
        <w:t>Регистрация и осуществление деятельности на территории Республики Татарстан.</w:t>
      </w:r>
    </w:p>
    <w:p w:rsidR="002B79F7" w:rsidRPr="00711EEA" w:rsidRDefault="00DC45E6">
      <w:pPr>
        <w:numPr>
          <w:ilvl w:val="0"/>
          <w:numId w:val="1"/>
        </w:numPr>
        <w:spacing w:before="100" w:after="100" w:line="240" w:lineRule="auto"/>
        <w:ind w:right="20" w:hanging="359"/>
        <w:jc w:val="both"/>
        <w:rPr>
          <w:color w:val="auto"/>
        </w:rPr>
      </w:pPr>
      <w:r w:rsidRPr="006A6845">
        <w:rPr>
          <w:rFonts w:ascii="Times New Roman" w:eastAsia="Times New Roman" w:hAnsi="Times New Roman" w:cs="Times New Roman"/>
          <w:color w:val="auto"/>
          <w:sz w:val="24"/>
        </w:rPr>
        <w:t>Отсутствие у субъекта предпринимательства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 и законодательством Республики Татарстан.</w:t>
      </w:r>
    </w:p>
    <w:p w:rsidR="00711EEA" w:rsidRPr="00711EEA" w:rsidRDefault="00711EEA">
      <w:pPr>
        <w:numPr>
          <w:ilvl w:val="0"/>
          <w:numId w:val="1"/>
        </w:numPr>
        <w:spacing w:before="100" w:after="100" w:line="240" w:lineRule="auto"/>
        <w:ind w:right="20" w:hanging="35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Отсутствие у субъекта предпринимательства неисполненных обязанностей в связи с ранее полученной в соответствии с настоящим Порядком поддержкой, в т.ч. по предоставлению отчетности об использовании средств и достижении целевых показателей.</w:t>
      </w:r>
    </w:p>
    <w:p w:rsidR="00711EEA" w:rsidRPr="006A6845" w:rsidRDefault="00711EEA" w:rsidP="00711EEA">
      <w:pPr>
        <w:spacing w:before="100" w:after="100" w:line="240" w:lineRule="auto"/>
        <w:ind w:left="720" w:right="20"/>
        <w:jc w:val="both"/>
        <w:rPr>
          <w:color w:val="auto"/>
        </w:rPr>
      </w:pPr>
    </w:p>
    <w:p w:rsidR="002B79F7" w:rsidRPr="003E7F75" w:rsidRDefault="00DC45E6">
      <w:pPr>
        <w:spacing w:before="100" w:after="100"/>
        <w:jc w:val="right"/>
        <w:rPr>
          <w:sz w:val="24"/>
        </w:rPr>
      </w:pPr>
      <w:r w:rsidRPr="003E7F75">
        <w:rPr>
          <w:rFonts w:eastAsia="Times New Roman" w:cs="Times New Roman"/>
          <w:smallCaps/>
          <w:color w:val="C0504D"/>
          <w:sz w:val="28"/>
          <w:u w:val="single"/>
        </w:rPr>
        <w:t>Конкурсная заявка включает в себя следующий перечень документов</w:t>
      </w:r>
      <w:r w:rsidR="00711EEA" w:rsidRPr="003E7F75">
        <w:rPr>
          <w:rFonts w:eastAsia="Times New Roman" w:cs="Times New Roman"/>
          <w:smallCaps/>
          <w:color w:val="C0504D"/>
          <w:sz w:val="28"/>
          <w:u w:val="single"/>
        </w:rPr>
        <w:t>:</w:t>
      </w:r>
    </w:p>
    <w:p w:rsidR="002B79F7" w:rsidRPr="00D37269" w:rsidRDefault="00DC45E6" w:rsidP="00E95CF2">
      <w:pPr>
        <w:pStyle w:val="a5"/>
        <w:numPr>
          <w:ilvl w:val="0"/>
          <w:numId w:val="3"/>
        </w:numPr>
        <w:spacing w:before="100" w:after="10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bookmarkStart w:id="1" w:name="h.gjdgxs" w:colFirst="0" w:colLast="0"/>
      <w:bookmarkEnd w:id="1"/>
      <w:r w:rsidRPr="00D37269">
        <w:rPr>
          <w:rFonts w:ascii="Times New Roman" w:eastAsia="Times New Roman" w:hAnsi="Times New Roman" w:cs="Times New Roman"/>
          <w:color w:val="auto"/>
          <w:sz w:val="24"/>
        </w:rPr>
        <w:t>заявление на предоставление субсидии соответствующе заверенное (подпись уполномоченного лица и печать - для юридических лиц; собственноручная подпись и печать при наличии - для ИП);</w:t>
      </w:r>
    </w:p>
    <w:p w:rsidR="00666540" w:rsidRPr="00D37269" w:rsidRDefault="00666540" w:rsidP="00E95CF2">
      <w:pPr>
        <w:pStyle w:val="a5"/>
        <w:numPr>
          <w:ilvl w:val="0"/>
          <w:numId w:val="3"/>
        </w:numPr>
        <w:spacing w:before="100" w:after="10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7269">
        <w:rPr>
          <w:rFonts w:ascii="Times New Roman" w:hAnsi="Times New Roman" w:cs="Times New Roman"/>
          <w:color w:val="auto"/>
          <w:sz w:val="24"/>
          <w:szCs w:val="24"/>
        </w:rPr>
        <w:t>паспорт бизнес-проекта.</w:t>
      </w:r>
    </w:p>
    <w:p w:rsidR="002B79F7" w:rsidRPr="00D37269" w:rsidRDefault="00666540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3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бухгалтерская (бухгалтерский баланс и отчет о прибылях и убытках) и налоговая отчетность заявителя (юридического лица или ИП) на последнюю отчетную дату (кроме субъектов, зарегистрированных в текущем отчетном периоде);</w:t>
      </w:r>
    </w:p>
    <w:p w:rsidR="002B79F7" w:rsidRPr="00D37269" w:rsidRDefault="00666540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4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502A4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справка о численности сотрудников, либо 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штатное расписание заявителя на момент подачи конкурсной заявки или другой документ, содержащий информацию о численности работников субъекта предпринимательства на </w:t>
      </w:r>
      <w:r w:rsidR="00502A46" w:rsidRPr="00D37269">
        <w:rPr>
          <w:rFonts w:ascii="Times New Roman" w:eastAsia="Times New Roman" w:hAnsi="Times New Roman" w:cs="Times New Roman"/>
          <w:color w:val="auto"/>
          <w:sz w:val="24"/>
        </w:rPr>
        <w:t>момент подачи конкурсной заявки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2B79F7" w:rsidRPr="00D37269" w:rsidRDefault="00DC45E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 xml:space="preserve">4)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подписанное лизингодателем гарантийное письмо о заключении договора лизинга при условии предоставления субсидии с указанием основных параметров договора лизинга</w:t>
      </w:r>
    </w:p>
    <w:p w:rsidR="002B79F7" w:rsidRPr="00D37269" w:rsidRDefault="00DC45E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 xml:space="preserve">5)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документы, подтверждающие наличие помещений или земельных участков</w:t>
      </w:r>
      <w:r w:rsidR="00502A4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 (к договору аренды приложить акт приема-передачи)</w:t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2B79F7" w:rsidRPr="00D37269" w:rsidRDefault="00DC45E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 xml:space="preserve">6)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копии действующих контрактов, необходимых для реализации проекта</w:t>
      </w:r>
      <w:r w:rsidR="00502A46" w:rsidRPr="00D37269">
        <w:rPr>
          <w:rFonts w:ascii="Times New Roman" w:eastAsia="Times New Roman" w:hAnsi="Times New Roman" w:cs="Times New Roman"/>
          <w:color w:val="auto"/>
          <w:sz w:val="24"/>
        </w:rPr>
        <w:t>, отмеченные «+» в паспорте проекта</w:t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2B79F7" w:rsidRPr="00D37269" w:rsidRDefault="00DC45E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 xml:space="preserve">7)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Pr="00D37269">
        <w:rPr>
          <w:rFonts w:ascii="Times New Roman" w:eastAsia="Times New Roman" w:hAnsi="Times New Roman" w:cs="Times New Roman"/>
          <w:color w:val="auto"/>
          <w:sz w:val="24"/>
        </w:rPr>
        <w:t>копии лицензий и разрешений, патентов, результатов НИОКР, экспертные заключения и т.д. (при наличии);</w:t>
      </w:r>
    </w:p>
    <w:p w:rsidR="002B79F7" w:rsidRPr="00D37269" w:rsidRDefault="00502A4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8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ОГРН</w:t>
      </w:r>
    </w:p>
    <w:p w:rsidR="002B79F7" w:rsidRPr="00D37269" w:rsidRDefault="00502A4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lastRenderedPageBreak/>
        <w:t>9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ИНН</w:t>
      </w:r>
    </w:p>
    <w:p w:rsidR="002B79F7" w:rsidRPr="00D37269" w:rsidRDefault="00502A46" w:rsidP="00E95CF2">
      <w:pPr>
        <w:spacing w:before="100" w:after="100"/>
        <w:jc w:val="both"/>
        <w:rPr>
          <w:color w:val="auto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10</w:t>
      </w:r>
      <w:r w:rsidR="006A6845">
        <w:rPr>
          <w:rFonts w:ascii="Times New Roman" w:eastAsia="Times New Roman" w:hAnsi="Times New Roman" w:cs="Times New Roman"/>
          <w:color w:val="auto"/>
          <w:sz w:val="24"/>
        </w:rPr>
        <w:t>) с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правка налогового органа, подтверждающая отсутствие у субъекта предпринимательства задолженности в виде неуплаченных налогов, сборов и иных обязательных платежей, заверенная в установленном порядке по состоянию на конец месяца, предшествующего месяцу подачи заявки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  <w:vertAlign w:val="superscript"/>
        </w:rPr>
        <w:footnoteReference w:id="4"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;</w:t>
      </w:r>
    </w:p>
    <w:p w:rsidR="002B79F7" w:rsidRPr="00D37269" w:rsidRDefault="00502A46">
      <w:pPr>
        <w:spacing w:before="100" w:after="10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D37269">
        <w:rPr>
          <w:rFonts w:ascii="Times New Roman" w:eastAsia="Times New Roman" w:hAnsi="Times New Roman" w:cs="Times New Roman"/>
          <w:color w:val="auto"/>
          <w:sz w:val="24"/>
        </w:rPr>
        <w:t>11</w:t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 xml:space="preserve">) </w:t>
      </w:r>
      <w:r w:rsidR="00E95CF2">
        <w:rPr>
          <w:rFonts w:ascii="Times New Roman" w:eastAsia="Times New Roman" w:hAnsi="Times New Roman" w:cs="Times New Roman"/>
          <w:color w:val="auto"/>
          <w:sz w:val="24"/>
        </w:rPr>
        <w:tab/>
      </w:r>
      <w:r w:rsidR="00DC45E6" w:rsidRPr="00D37269">
        <w:rPr>
          <w:rFonts w:ascii="Times New Roman" w:eastAsia="Times New Roman" w:hAnsi="Times New Roman" w:cs="Times New Roman"/>
          <w:color w:val="auto"/>
          <w:sz w:val="24"/>
        </w:rPr>
        <w:t>копия выписки из Единого государственного реестра юридических лиц (индивидуальных предпринимателей) по состоянию на конец месяца, предшествующего месяцу подачи заявки.</w:t>
      </w:r>
    </w:p>
    <w:p w:rsidR="00D447BA" w:rsidRDefault="00502A46">
      <w:pPr>
        <w:spacing w:before="100" w:after="100"/>
        <w:jc w:val="both"/>
        <w:rPr>
          <w:rFonts w:ascii="Times New Roman" w:hAnsi="Times New Roman" w:cs="Times New Roman"/>
          <w:color w:val="auto"/>
        </w:rPr>
      </w:pPr>
      <w:r w:rsidRPr="00D37269">
        <w:rPr>
          <w:rFonts w:ascii="Times New Roman" w:hAnsi="Times New Roman" w:cs="Times New Roman"/>
          <w:color w:val="auto"/>
        </w:rPr>
        <w:t>12</w:t>
      </w:r>
      <w:r w:rsidR="00D447BA" w:rsidRPr="00D37269">
        <w:rPr>
          <w:rFonts w:ascii="Times New Roman" w:hAnsi="Times New Roman" w:cs="Times New Roman"/>
          <w:color w:val="auto"/>
        </w:rPr>
        <w:t xml:space="preserve">) </w:t>
      </w:r>
      <w:r w:rsidR="00E95CF2">
        <w:rPr>
          <w:rFonts w:ascii="Times New Roman" w:hAnsi="Times New Roman" w:cs="Times New Roman"/>
          <w:color w:val="auto"/>
        </w:rPr>
        <w:tab/>
      </w:r>
      <w:r w:rsidR="00D447BA" w:rsidRPr="00D37269">
        <w:rPr>
          <w:rFonts w:ascii="Times New Roman" w:hAnsi="Times New Roman" w:cs="Times New Roman"/>
          <w:color w:val="auto"/>
        </w:rPr>
        <w:t>копия устава (для юридических лиц);</w:t>
      </w:r>
    </w:p>
    <w:p w:rsidR="00E95CF2" w:rsidRPr="00D37269" w:rsidRDefault="00E95CF2">
      <w:pPr>
        <w:spacing w:before="100"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13)</w:t>
      </w:r>
      <w:r>
        <w:rPr>
          <w:rFonts w:ascii="Times New Roman" w:hAnsi="Times New Roman" w:cs="Times New Roman"/>
          <w:color w:val="auto"/>
        </w:rPr>
        <w:tab/>
      </w:r>
      <w:r w:rsidR="006A6845" w:rsidRPr="006A6845">
        <w:rPr>
          <w:rFonts w:ascii="Times New Roman" w:hAnsi="Times New Roman" w:cs="Times New Roman"/>
        </w:rPr>
        <w:t>справка, подтверждающая отсутствие у субъекта предпринимательства неис</w:t>
      </w:r>
      <w:r w:rsidR="006A6845" w:rsidRPr="006A6845">
        <w:rPr>
          <w:rFonts w:ascii="Times New Roman" w:hAnsi="Times New Roman" w:cs="Times New Roman"/>
        </w:rPr>
        <w:softHyphen/>
        <w:t>полненной обязанности по уплате страховых взносов на обязательное пенсионное и медицинское страхование</w:t>
      </w:r>
      <w:r w:rsidR="006A6845">
        <w:rPr>
          <w:rFonts w:ascii="Times New Roman" w:hAnsi="Times New Roman" w:cs="Times New Roman"/>
        </w:rPr>
        <w:t>.</w:t>
      </w:r>
    </w:p>
    <w:p w:rsidR="002B79F7" w:rsidRPr="003E7F75" w:rsidRDefault="00DC45E6">
      <w:pPr>
        <w:spacing w:before="100" w:after="100"/>
        <w:jc w:val="right"/>
        <w:rPr>
          <w:sz w:val="24"/>
        </w:rPr>
      </w:pPr>
      <w:r w:rsidRPr="003E7F75">
        <w:rPr>
          <w:rFonts w:eastAsia="Times New Roman" w:cs="Times New Roman"/>
          <w:smallCaps/>
          <w:color w:val="C0504D"/>
          <w:sz w:val="28"/>
          <w:u w:val="single"/>
        </w:rPr>
        <w:t>Формальные требования к конкурсной заявке: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1) документы должны быть четко напечатаны и заполнены по всем пунктам (ВНИМАНИЕ: в случае отсутствия каких-либо данных ставится прочерк, иначе конкурсная заявка будет отклонена по формальным причинам!);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2) подчистки и исправления не допускаются (за исключением исправлений заверенных печатью и подписью уполномоченного лица – для юридических лиц; собственноручно заверенных подписью – для ИП);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3) все листы конкурсной заявки должны быть пронумерованы (рекомендуется соблюдать порядок, представленный в перечне документов);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4) все копии документов должны быть скреплены печатями и заверены подписями в случае юридических лиц и собственноручно заверены подписью в случае ИП (печать ИП ставится при ее наличии);</w:t>
      </w:r>
    </w:p>
    <w:p w:rsidR="002B79F7" w:rsidRDefault="00DC45E6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70C0"/>
          <w:sz w:val="24"/>
        </w:rPr>
        <w:t>5) конкурсная заявка должна быть прошита при помощи ниток и заверена (подпись уполномоченного лица и печать - для юридических лиц; собственноручная подпись и печать при наличии - для ИП) на обороте с указанием общего количества листов;</w:t>
      </w:r>
    </w:p>
    <w:p w:rsidR="002B79F7" w:rsidRDefault="00DC45E6">
      <w:pPr>
        <w:spacing w:before="100" w:after="100"/>
        <w:jc w:val="both"/>
        <w:rPr>
          <w:rFonts w:ascii="Times New Roman" w:eastAsia="Times New Roman" w:hAnsi="Times New Roman" w:cs="Times New Roman"/>
          <w:color w:val="0070C0"/>
          <w:sz w:val="24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>6) конкурсная заявка предоставляется в бумажном виде (рекомендуется также приложить к ней и электронный вариант с полным пакетом отсканированных документов).</w:t>
      </w:r>
    </w:p>
    <w:p w:rsidR="00D60478" w:rsidRDefault="00D60478">
      <w:pPr>
        <w:spacing w:before="100" w:after="100"/>
        <w:jc w:val="both"/>
      </w:pPr>
    </w:p>
    <w:p w:rsidR="002B79F7" w:rsidRDefault="00DC45E6">
      <w:pPr>
        <w:spacing w:before="100" w:after="100"/>
        <w:jc w:val="both"/>
      </w:pPr>
      <w:r w:rsidRPr="003E7F75">
        <w:rPr>
          <w:b/>
          <w:smallCaps/>
          <w:color w:val="C0504D"/>
          <w:sz w:val="28"/>
        </w:rPr>
        <w:tab/>
      </w:r>
      <w:r>
        <w:rPr>
          <w:b/>
          <w:smallCaps/>
          <w:color w:val="C0504D"/>
          <w:sz w:val="28"/>
          <w:u w:val="single"/>
        </w:rPr>
        <w:t>В случае ненадлежащего оформления конкурсной заявки, нехватки каких-либо документов или несоответствия представленной информации, конкурсная заявка будет передана в Конкурсную комиссию с соответствующими отметками!</w:t>
      </w:r>
    </w:p>
    <w:p w:rsidR="002B79F7" w:rsidRDefault="002B79F7">
      <w:pPr>
        <w:spacing w:before="100" w:after="100"/>
        <w:jc w:val="both"/>
        <w:rPr>
          <w:lang w:val="tt-RU"/>
        </w:rPr>
      </w:pPr>
    </w:p>
    <w:p w:rsidR="008B1181" w:rsidRDefault="008B1181">
      <w:pPr>
        <w:spacing w:before="100" w:after="100"/>
        <w:jc w:val="both"/>
        <w:rPr>
          <w:lang w:val="tt-RU"/>
        </w:rPr>
      </w:pPr>
    </w:p>
    <w:sectPr w:rsidR="008B1181" w:rsidSect="008B1181">
      <w:pgSz w:w="11906" w:h="16838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94" w:rsidRDefault="00DD7194">
      <w:pPr>
        <w:spacing w:after="0" w:line="240" w:lineRule="auto"/>
      </w:pPr>
      <w:r>
        <w:separator/>
      </w:r>
    </w:p>
  </w:endnote>
  <w:endnote w:type="continuationSeparator" w:id="1">
    <w:p w:rsidR="00DD7194" w:rsidRDefault="00DD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94" w:rsidRDefault="00DD7194">
      <w:pPr>
        <w:spacing w:after="0" w:line="240" w:lineRule="auto"/>
      </w:pPr>
      <w:r>
        <w:separator/>
      </w:r>
    </w:p>
  </w:footnote>
  <w:footnote w:type="continuationSeparator" w:id="1">
    <w:p w:rsidR="00DD7194" w:rsidRDefault="00DD7194">
      <w:pPr>
        <w:spacing w:after="0" w:line="240" w:lineRule="auto"/>
      </w:pPr>
      <w:r>
        <w:continuationSeparator/>
      </w:r>
    </w:p>
  </w:footnote>
  <w:footnote w:id="2">
    <w:p w:rsidR="002B79F7" w:rsidRDefault="00DC45E6" w:rsidP="00253FB5">
      <w:pPr>
        <w:spacing w:after="0" w:line="240" w:lineRule="auto"/>
        <w:ind w:right="40" w:firstLine="720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</w:rPr>
        <w:t>Данная программа рассчитана на субъекты малого и среднего предпринимательства, отвечающим соответствующим критериям согласно Федеральному закону №209-ФЗ «О развитии малого и среднего предпринимательства от 24.07.2007 г.</w:t>
      </w:r>
      <w:r w:rsidR="00DF542C"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Постановлению Правительства РФ №</w:t>
      </w:r>
      <w:r w:rsidR="00DF542C" w:rsidRPr="00DF542C">
        <w:rPr>
          <w:rFonts w:ascii="Times New Roman" w:eastAsia="Times New Roman" w:hAnsi="Times New Roman" w:cs="Times New Roman"/>
          <w:sz w:val="18"/>
        </w:rPr>
        <w:t>702</w:t>
      </w:r>
      <w:r>
        <w:rPr>
          <w:rFonts w:ascii="Times New Roman" w:eastAsia="Times New Roman" w:hAnsi="Times New Roman" w:cs="Times New Roman"/>
          <w:sz w:val="18"/>
        </w:rPr>
        <w:t xml:space="preserve"> «</w:t>
      </w:r>
      <w:r>
        <w:rPr>
          <w:rFonts w:ascii="Times New Roman" w:eastAsia="Times New Roman" w:hAnsi="Times New Roman" w:cs="Times New Roman"/>
          <w:sz w:val="18"/>
          <w:highlight w:val="white"/>
        </w:rPr>
        <w:t xml:space="preserve">О предельных значениях выручки различных категорий МСП» от </w:t>
      </w:r>
      <w:r w:rsidR="00DF542C">
        <w:rPr>
          <w:rFonts w:ascii="Times New Roman" w:eastAsia="Times New Roman" w:hAnsi="Times New Roman" w:cs="Times New Roman"/>
          <w:sz w:val="18"/>
          <w:highlight w:val="white"/>
        </w:rPr>
        <w:t>13.07.</w:t>
      </w:r>
      <w:r w:rsidR="00DF542C" w:rsidRPr="00DF542C">
        <w:rPr>
          <w:rFonts w:ascii="Times New Roman" w:eastAsia="Times New Roman" w:hAnsi="Times New Roman" w:cs="Times New Roman"/>
          <w:sz w:val="18"/>
          <w:highlight w:val="white"/>
        </w:rPr>
        <w:t xml:space="preserve">2015 </w:t>
      </w:r>
      <w:r>
        <w:rPr>
          <w:rFonts w:ascii="Times New Roman" w:eastAsia="Times New Roman" w:hAnsi="Times New Roman" w:cs="Times New Roman"/>
          <w:sz w:val="18"/>
          <w:highlight w:val="white"/>
        </w:rPr>
        <w:t xml:space="preserve"> г.</w:t>
      </w:r>
      <w:r w:rsidR="00DF542C">
        <w:rPr>
          <w:rFonts w:ascii="Times New Roman" w:eastAsia="Times New Roman" w:hAnsi="Times New Roman" w:cs="Times New Roman"/>
          <w:sz w:val="18"/>
        </w:rPr>
        <w:t>и Постановлению Правительства РФ №265«</w:t>
      </w:r>
      <w:r w:rsidR="00DF542C">
        <w:rPr>
          <w:rFonts w:ascii="Times New Roman" w:eastAsia="Times New Roman" w:hAnsi="Times New Roman" w:cs="Times New Roman"/>
          <w:sz w:val="18"/>
          <w:highlight w:val="white"/>
        </w:rPr>
        <w:t>О предельных значениях выручки различных категорий МСП» от 04.04.2016 г.</w:t>
      </w:r>
    </w:p>
    <w:p w:rsidR="002B79F7" w:rsidRDefault="00DC45E6" w:rsidP="00253FB5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Внимание! В соответствии с пунктом 4 ст.14 Федерального закона от 24 июля 2007 г. N 209-ФЗ «О развитии малого и среднего предпринимательства в Российской Федерации»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ископаемых. Список подакцизных товаров см. НК РФ. </w:t>
      </w:r>
    </w:p>
    <w:p w:rsidR="002B79F7" w:rsidRDefault="002B79F7">
      <w:pPr>
        <w:spacing w:after="0" w:line="240" w:lineRule="auto"/>
      </w:pPr>
    </w:p>
  </w:footnote>
  <w:footnote w:id="3">
    <w:p w:rsidR="008B1181" w:rsidRPr="008B1181" w:rsidRDefault="008B1181">
      <w:pPr>
        <w:pStyle w:val="a7"/>
        <w:rPr>
          <w:sz w:val="18"/>
        </w:rPr>
      </w:pPr>
      <w:r>
        <w:rPr>
          <w:rStyle w:val="a9"/>
        </w:rPr>
        <w:footnoteRef/>
      </w:r>
      <w:r w:rsidRPr="008B1181">
        <w:rPr>
          <w:b/>
          <w:color w:val="FF0000"/>
          <w:sz w:val="28"/>
        </w:rPr>
        <w:t>С полными условиями участия в программе “ЛИЗИНГ-ГРАНТ” можно ознакомиться в Постановлении Кабинета Министров Республики Татарстан от 19 июня 2013 г. №416 (в редакции постановления КМ РТ от 11 июля 2016 года №470) на сайте Министерства экономики Республики Татарстан (http://mert.tatarstan.ru).</w:t>
      </w:r>
    </w:p>
  </w:footnote>
  <w:footnote w:id="4">
    <w:p w:rsidR="002B79F7" w:rsidRDefault="00DC45E6">
      <w:pPr>
        <w:spacing w:after="0"/>
        <w:ind w:firstLine="360"/>
        <w:jc w:val="both"/>
      </w:pPr>
      <w:r>
        <w:rPr>
          <w:vertAlign w:val="superscript"/>
        </w:rPr>
        <w:footnoteRef/>
      </w:r>
      <w:r w:rsidR="00D60478">
        <w:rPr>
          <w:rFonts w:ascii="Times New Roman" w:eastAsia="Times New Roman" w:hAnsi="Times New Roman" w:cs="Times New Roman"/>
          <w:sz w:val="18"/>
        </w:rPr>
        <w:t>О</w:t>
      </w:r>
      <w:r>
        <w:rPr>
          <w:rFonts w:ascii="Times New Roman" w:eastAsia="Times New Roman" w:hAnsi="Times New Roman" w:cs="Times New Roman"/>
          <w:sz w:val="18"/>
        </w:rPr>
        <w:t xml:space="preserve">тсутствие необходимых документов в составе комплекта представляемых документов, наличие в таких документах недостоверных сведений, либо наличие в документах сведений, не соответствующих Порядку, является основанием для отказа по формальным признакам в предоставлении субсидии. </w:t>
      </w:r>
    </w:p>
    <w:p w:rsidR="002B79F7" w:rsidRDefault="00DC45E6" w:rsidP="006A6845">
      <w:pPr>
        <w:spacing w:after="0"/>
        <w:ind w:firstLine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Таким образом, в случае отсутствия в налоговой декларации (либо в извещении о вводе сведений, указанных в налоговой декларации) отметки налогового органа (либо ЭЦП ответственного сотрудника ИФНС) </w:t>
      </w:r>
      <w:r>
        <w:rPr>
          <w:rFonts w:ascii="Times New Roman" w:eastAsia="Times New Roman" w:hAnsi="Times New Roman" w:cs="Times New Roman"/>
          <w:sz w:val="18"/>
          <w:u w:val="single"/>
        </w:rPr>
        <w:t>проверить достоверность</w:t>
      </w:r>
      <w:r>
        <w:rPr>
          <w:rFonts w:ascii="Times New Roman" w:eastAsia="Times New Roman" w:hAnsi="Times New Roman" w:cs="Times New Roman"/>
          <w:sz w:val="18"/>
        </w:rPr>
        <w:t xml:space="preserve">  представленной налоговой декларации </w:t>
      </w:r>
      <w:r>
        <w:rPr>
          <w:rFonts w:ascii="Times New Roman" w:eastAsia="Times New Roman" w:hAnsi="Times New Roman" w:cs="Times New Roman"/>
          <w:sz w:val="18"/>
          <w:u w:val="single"/>
        </w:rPr>
        <w:t>не представляется возможным</w:t>
      </w:r>
      <w:r>
        <w:rPr>
          <w:rFonts w:ascii="Times New Roman" w:eastAsia="Times New Roman" w:hAnsi="Times New Roman" w:cs="Times New Roman"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586"/>
    <w:multiLevelType w:val="hybridMultilevel"/>
    <w:tmpl w:val="DAA2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D7695"/>
    <w:multiLevelType w:val="multilevel"/>
    <w:tmpl w:val="E892C7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3EB27D8D"/>
    <w:multiLevelType w:val="multilevel"/>
    <w:tmpl w:val="A1AA9F1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42045D3D"/>
    <w:multiLevelType w:val="hybridMultilevel"/>
    <w:tmpl w:val="6DCA700E"/>
    <w:lvl w:ilvl="0" w:tplc="4E3A98BE">
      <w:start w:val="1"/>
      <w:numFmt w:val="decimal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9F7"/>
    <w:rsid w:val="00054195"/>
    <w:rsid w:val="00065DF9"/>
    <w:rsid w:val="000703AC"/>
    <w:rsid w:val="00077F23"/>
    <w:rsid w:val="00253FB5"/>
    <w:rsid w:val="002B79F7"/>
    <w:rsid w:val="00366E40"/>
    <w:rsid w:val="003E7F75"/>
    <w:rsid w:val="00502A46"/>
    <w:rsid w:val="00520693"/>
    <w:rsid w:val="00520784"/>
    <w:rsid w:val="005A0680"/>
    <w:rsid w:val="00666540"/>
    <w:rsid w:val="00691E93"/>
    <w:rsid w:val="006A6845"/>
    <w:rsid w:val="00711EEA"/>
    <w:rsid w:val="00767EA0"/>
    <w:rsid w:val="007A4A30"/>
    <w:rsid w:val="007A693D"/>
    <w:rsid w:val="007C4DC0"/>
    <w:rsid w:val="007D71AE"/>
    <w:rsid w:val="00806EDC"/>
    <w:rsid w:val="00875F37"/>
    <w:rsid w:val="00886BF3"/>
    <w:rsid w:val="008948F4"/>
    <w:rsid w:val="008B1181"/>
    <w:rsid w:val="008F1C63"/>
    <w:rsid w:val="00993789"/>
    <w:rsid w:val="00B87D93"/>
    <w:rsid w:val="00BF1A07"/>
    <w:rsid w:val="00C44668"/>
    <w:rsid w:val="00CA0413"/>
    <w:rsid w:val="00CD450C"/>
    <w:rsid w:val="00D37269"/>
    <w:rsid w:val="00D447BA"/>
    <w:rsid w:val="00D60478"/>
    <w:rsid w:val="00DC45E6"/>
    <w:rsid w:val="00DD7194"/>
    <w:rsid w:val="00DE6A1B"/>
    <w:rsid w:val="00DF542C"/>
    <w:rsid w:val="00E32E70"/>
    <w:rsid w:val="00E5398A"/>
    <w:rsid w:val="00E95CF2"/>
    <w:rsid w:val="00EB701D"/>
    <w:rsid w:val="00EF3E1C"/>
    <w:rsid w:val="00F51EB7"/>
    <w:rsid w:val="00F73663"/>
    <w:rsid w:val="00FB0F0F"/>
    <w:rsid w:val="00FF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E70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rsid w:val="00E32E70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rsid w:val="00E32E70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rsid w:val="00E32E70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rsid w:val="00E32E70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E32E70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32E70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E32E70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rsid w:val="00E32E7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666540"/>
    <w:pPr>
      <w:ind w:left="720"/>
      <w:contextualSpacing/>
    </w:pPr>
  </w:style>
  <w:style w:type="character" w:customStyle="1" w:styleId="a6">
    <w:name w:val="Основной текст_"/>
    <w:basedOn w:val="a0"/>
    <w:link w:val="40"/>
    <w:rsid w:val="00886B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3"/>
    <w:basedOn w:val="a6"/>
    <w:rsid w:val="00886B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4"/>
    <w:basedOn w:val="a"/>
    <w:link w:val="a6"/>
    <w:rsid w:val="00886BF3"/>
    <w:pPr>
      <w:widowControl w:val="0"/>
      <w:shd w:val="clear" w:color="auto" w:fill="FFFFFF"/>
      <w:spacing w:before="2100" w:after="600" w:line="312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footnote text"/>
    <w:basedOn w:val="a"/>
    <w:link w:val="a8"/>
    <w:uiPriority w:val="99"/>
    <w:semiHidden/>
    <w:unhideWhenUsed/>
    <w:rsid w:val="008B11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1181"/>
    <w:rPr>
      <w:rFonts w:ascii="Calibri" w:eastAsia="Calibri" w:hAnsi="Calibri" w:cs="Calibri"/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11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666540"/>
    <w:pPr>
      <w:ind w:left="720"/>
      <w:contextualSpacing/>
    </w:pPr>
  </w:style>
  <w:style w:type="character" w:customStyle="1" w:styleId="a6">
    <w:name w:val="Основной текст_"/>
    <w:basedOn w:val="a0"/>
    <w:link w:val="40"/>
    <w:rsid w:val="00886B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3"/>
    <w:basedOn w:val="a6"/>
    <w:rsid w:val="00886B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4"/>
    <w:basedOn w:val="a"/>
    <w:link w:val="a6"/>
    <w:rsid w:val="00886BF3"/>
    <w:pPr>
      <w:widowControl w:val="0"/>
      <w:shd w:val="clear" w:color="auto" w:fill="FFFFFF"/>
      <w:spacing w:before="2100" w:after="600" w:line="312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footnote text"/>
    <w:basedOn w:val="a"/>
    <w:link w:val="a8"/>
    <w:uiPriority w:val="99"/>
    <w:semiHidden/>
    <w:unhideWhenUsed/>
    <w:rsid w:val="008B118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1181"/>
    <w:rPr>
      <w:rFonts w:ascii="Calibri" w:eastAsia="Calibri" w:hAnsi="Calibri" w:cs="Calibri"/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11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D3EA-188F-4D8C-9471-DF37358C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лизинг грант до 1млн руб. - копия (1).docx</vt:lpstr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лизинг грант до 1млн руб. - копия (1).docx</dc:title>
  <dc:creator>Пользователь</dc:creator>
  <cp:lastModifiedBy>admin</cp:lastModifiedBy>
  <cp:revision>2</cp:revision>
  <dcterms:created xsi:type="dcterms:W3CDTF">2016-10-31T09:34:00Z</dcterms:created>
  <dcterms:modified xsi:type="dcterms:W3CDTF">2016-10-31T09:34:00Z</dcterms:modified>
</cp:coreProperties>
</file>